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BA254" w14:textId="6C798DF8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b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b/>
          <w:color w:val="000000"/>
          <w:sz w:val="18"/>
          <w:szCs w:val="18"/>
        </w:rPr>
        <w:t>Age Dis</w:t>
      </w:r>
      <w:r w:rsidR="0043437A" w:rsidRPr="00D160D4">
        <w:rPr>
          <w:rFonts w:asciiTheme="majorHAnsi" w:hAnsiTheme="majorHAnsi" w:cs="Times New Roman"/>
          <w:b/>
          <w:color w:val="000000"/>
          <w:sz w:val="18"/>
          <w:szCs w:val="18"/>
        </w:rPr>
        <w:t>crimination in Employment Act (ADEA</w:t>
      </w:r>
      <w:r w:rsidRPr="00D160D4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) </w:t>
      </w:r>
    </w:p>
    <w:p w14:paraId="72AF507F" w14:textId="77777777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 wellness program cannot discriminate by terminating or decreasing rewards for employees 40 or older. </w:t>
      </w:r>
    </w:p>
    <w:p w14:paraId="6F9736AA" w14:textId="24B7C594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>Am</w:t>
      </w:r>
      <w:r w:rsidR="0043437A"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>ericans with Disabilities Act (ADA</w:t>
      </w:r>
      <w:r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 xml:space="preserve">) </w:t>
      </w:r>
    </w:p>
    <w:p w14:paraId="17191138" w14:textId="27ECAEEE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 wellness program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can’t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dis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criminate against a differently-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abled employee so an alternative method of reward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(</w:t>
      </w:r>
      <w:r w:rsidR="002674E7"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incentive OR penalty)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achievement should be plan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ned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The ADA also governs wellness programs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with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an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HRA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(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disability-related questions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such as depression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)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OR biometric screening by including these requirements:</w:t>
      </w:r>
    </w:p>
    <w:p w14:paraId="37B655C1" w14:textId="55FCCB41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1) </w:t>
      </w:r>
      <w:r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Be reasonably designed to 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>promote health/prevent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dis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ease, not be too hard, not be a smokescreen to enable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discrimination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>,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and the methods should make sense. Collecting 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>data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>with no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results or follow-up is not reasonably designed. </w:t>
      </w:r>
    </w:p>
    <w:p w14:paraId="6904A0BB" w14:textId="5C509588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2) </w:t>
      </w:r>
      <w:r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Limit the </w:t>
      </w:r>
      <w:r w:rsidR="000F4C9D">
        <w:rPr>
          <w:rFonts w:asciiTheme="majorHAnsi" w:hAnsiTheme="majorHAnsi" w:cs="Times"/>
          <w:bCs/>
          <w:color w:val="000000"/>
          <w:sz w:val="18"/>
          <w:szCs w:val="18"/>
        </w:rPr>
        <w:t>max</w:t>
      </w:r>
      <w:r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 reward</w:t>
      </w: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to 30% of the cost of employee-only coverage in the least expensive plan available OR in the absence of a health plan, 30% of self-only coverage for a 40-year-old non- smoker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in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the second lowest cost Silver p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lan from the local marketplace.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There is one exception</w:t>
      </w:r>
      <w:r w:rsidR="00D160D4">
        <w:rPr>
          <w:rFonts w:asciiTheme="majorHAnsi" w:hAnsiTheme="majorHAnsi" w:cs="Times New Roman"/>
          <w:color w:val="000000"/>
          <w:sz w:val="18"/>
          <w:szCs w:val="18"/>
        </w:rPr>
        <w:t>; i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 smoking status is verified by an affidavit only (no biometric tests), then the limit is 50%.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Otherwise the limit is 30%.</w:t>
      </w:r>
    </w:p>
    <w:p w14:paraId="71971B0B" w14:textId="3B4DAE4C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3)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Don’t require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,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deny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coverage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, or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base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adverse employment action on participation status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</w:p>
    <w:p w14:paraId="4CF57187" w14:textId="0B3B5A31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4) </w:t>
      </w:r>
      <w:r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Provide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clear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written notice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that explains what data will be collected, how it will be used, with whom it will be shared, and how it will be kept both confidential and secure. A sample notice is provided </w:t>
      </w:r>
      <w:hyperlink r:id="rId6" w:history="1">
        <w:r w:rsidRPr="00221E72">
          <w:rPr>
            <w:rStyle w:val="Hyperlink"/>
            <w:rFonts w:asciiTheme="majorHAnsi" w:hAnsiTheme="majorHAnsi" w:cs="Times New Roman"/>
            <w:sz w:val="18"/>
            <w:szCs w:val="18"/>
          </w:rPr>
          <w:t>here</w:t>
        </w:r>
      </w:hyperlink>
      <w:r w:rsidRPr="00D160D4">
        <w:rPr>
          <w:rFonts w:asciiTheme="majorHAnsi" w:hAnsiTheme="majorHAnsi" w:cs="Times New Roman"/>
          <w:color w:val="0000FF"/>
          <w:sz w:val="18"/>
          <w:szCs w:val="18"/>
        </w:rPr>
        <w:t>.</w:t>
      </w:r>
    </w:p>
    <w:p w14:paraId="7F111DAF" w14:textId="5633FEDD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5) </w:t>
      </w:r>
      <w:r w:rsidR="005A5D85" w:rsidRPr="00D160D4">
        <w:rPr>
          <w:rFonts w:asciiTheme="majorHAnsi" w:hAnsiTheme="majorHAnsi" w:cs="Times"/>
          <w:bCs/>
          <w:color w:val="000000"/>
          <w:sz w:val="18"/>
          <w:szCs w:val="18"/>
        </w:rPr>
        <w:t>Don’t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share data with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those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who can make employment decisions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(e.g. supervisors or managers)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Don’t require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participants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to disclosure of personal data (e.g. sale, sharing, transfer, </w:t>
      </w:r>
      <w:proofErr w:type="spellStart"/>
      <w:r w:rsidRPr="00D160D4">
        <w:rPr>
          <w:rFonts w:asciiTheme="majorHAnsi" w:hAnsiTheme="majorHAnsi" w:cs="Times New Roman"/>
          <w:color w:val="000000"/>
          <w:sz w:val="18"/>
          <w:szCs w:val="18"/>
        </w:rPr>
        <w:t>etc</w:t>
      </w:r>
      <w:proofErr w:type="spellEnd"/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)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to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receive an incentive. </w:t>
      </w:r>
    </w:p>
    <w:p w14:paraId="4EACB404" w14:textId="723ECCA0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6) </w:t>
      </w:r>
      <w:r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Provide reasonable accommodation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for employees to access the wellness program.</w:t>
      </w:r>
    </w:p>
    <w:p w14:paraId="5F940EE8" w14:textId="77777777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 xml:space="preserve">COBRA </w:t>
      </w:r>
    </w:p>
    <w:p w14:paraId="4E0CB95D" w14:textId="0F33A75D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If a wellness program provides a benefit such as a reduced deductible (e.g. for HRA completion)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to </w:t>
      </w:r>
      <w:r w:rsidR="005F4770" w:rsidRPr="00D160D4">
        <w:rPr>
          <w:rFonts w:asciiTheme="majorHAnsi" w:hAnsiTheme="majorHAnsi" w:cs="Times New Roman"/>
          <w:i/>
          <w:color w:val="000000"/>
          <w:sz w:val="18"/>
          <w:szCs w:val="18"/>
        </w:rPr>
        <w:t>all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employees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, 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this benefit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must be 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>covered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in COBRA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However, reduced </w:t>
      </w:r>
      <w:r w:rsidRPr="00D160D4">
        <w:rPr>
          <w:rFonts w:asciiTheme="majorHAnsi" w:hAnsiTheme="majorHAnsi" w:cs="Times New Roman"/>
          <w:i/>
          <w:color w:val="000000"/>
          <w:sz w:val="18"/>
          <w:szCs w:val="18"/>
        </w:rPr>
        <w:t>premiums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are exempt from this rule. Here are the most significant COBRA requirements: 1) participant and spouse must receive a </w:t>
      </w:r>
      <w:r w:rsidRPr="00D160D4">
        <w:rPr>
          <w:rFonts w:asciiTheme="majorHAnsi" w:hAnsiTheme="majorHAnsi" w:cs="Times New Roman"/>
          <w:i/>
          <w:color w:val="000000"/>
          <w:sz w:val="18"/>
          <w:szCs w:val="18"/>
        </w:rPr>
        <w:t>general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notice when coverage under COBRA begins and an </w:t>
      </w:r>
      <w:r w:rsidRPr="00D160D4">
        <w:rPr>
          <w:rFonts w:asciiTheme="majorHAnsi" w:hAnsiTheme="majorHAnsi" w:cs="Times New Roman"/>
          <w:i/>
          <w:color w:val="000000"/>
          <w:sz w:val="18"/>
          <w:szCs w:val="18"/>
        </w:rPr>
        <w:t>election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notice 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(wellness program and medical notice can be combined)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that explains rights and obligations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>;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2) Those who will </w:t>
      </w:r>
      <w:r w:rsidRPr="00D160D4">
        <w:rPr>
          <w:rFonts w:asciiTheme="majorHAnsi" w:hAnsiTheme="majorHAnsi" w:cs="Times New Roman"/>
          <w:i/>
          <w:color w:val="000000"/>
          <w:sz w:val="18"/>
          <w:szCs w:val="18"/>
        </w:rPr>
        <w:t>not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receive COBRA coverage must be notified; </w:t>
      </w:r>
      <w:r w:rsidRPr="00D160D4">
        <w:rPr>
          <w:rFonts w:asciiTheme="majorHAnsi" w:hAnsiTheme="majorHAnsi" w:cs="Times"/>
          <w:color w:val="000000"/>
          <w:sz w:val="18"/>
          <w:szCs w:val="18"/>
        </w:rPr>
        <w:t> 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3) 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the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COBRA coverage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period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for the wellness program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should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be the same for the medical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COBRA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coverage period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; and </w:t>
      </w:r>
      <w:r w:rsidRPr="00D160D4">
        <w:rPr>
          <w:rFonts w:asciiTheme="majorHAnsi" w:hAnsiTheme="majorHAnsi" w:cs="Times"/>
          <w:color w:val="000000"/>
          <w:sz w:val="18"/>
          <w:szCs w:val="18"/>
        </w:rPr>
        <w:t> 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>4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) </w:t>
      </w:r>
      <w:r w:rsidR="0089364E" w:rsidRPr="00D160D4">
        <w:rPr>
          <w:rFonts w:asciiTheme="majorHAnsi" w:hAnsiTheme="majorHAnsi" w:cs="Times"/>
          <w:bCs/>
          <w:color w:val="000000"/>
          <w:sz w:val="18"/>
          <w:szCs w:val="18"/>
        </w:rPr>
        <w:t xml:space="preserve">an early termination notice must be provided if applicable. 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Note: </w:t>
      </w:r>
      <w:r w:rsidR="00D160D4">
        <w:rPr>
          <w:rFonts w:asciiTheme="majorHAnsi" w:hAnsiTheme="majorHAnsi" w:cs="Times New Roman"/>
          <w:color w:val="000000"/>
          <w:sz w:val="18"/>
          <w:szCs w:val="18"/>
        </w:rPr>
        <w:t>If applicable, w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ellness programs should be included in written COBRA policies. </w:t>
      </w:r>
    </w:p>
    <w:p w14:paraId="35DEABF3" w14:textId="2709E2A9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 xml:space="preserve">ERISA </w:t>
      </w:r>
    </w:p>
    <w:p w14:paraId="2482E04A" w14:textId="5EC62BB9" w:rsidR="00953950" w:rsidRPr="000F4C9D" w:rsidRDefault="005F4770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We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llness program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s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that 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only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provide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general education (newsletters, classes, </w:t>
      </w:r>
      <w:proofErr w:type="spellStart"/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etc</w:t>
      </w:r>
      <w:proofErr w:type="spellEnd"/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) are exempt. Programs that provide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individualized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“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>medical care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”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(biometric testing or flu shots) 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or coaching/counse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ling by a trained professional are 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subject to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the following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requirements: 1)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i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nclude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and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follow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all 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plan terms including financial standards;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2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) provide summary plan documents to </w:t>
      </w:r>
      <w:r w:rsidR="00D160D4">
        <w:rPr>
          <w:rFonts w:asciiTheme="majorHAnsi" w:hAnsiTheme="majorHAnsi" w:cs="Times New Roman"/>
          <w:color w:val="000000"/>
          <w:sz w:val="18"/>
          <w:szCs w:val="18"/>
        </w:rPr>
        <w:t xml:space="preserve">participants;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and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3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)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file </w:t>
      </w:r>
      <w:hyperlink r:id="rId7" w:history="1">
        <w:r w:rsidR="000F4C9D" w:rsidRPr="00D160D4">
          <w:rPr>
            <w:rStyle w:val="Hyperlink"/>
            <w:rFonts w:asciiTheme="majorHAnsi" w:hAnsiTheme="majorHAnsi" w:cs="Times New Roman"/>
            <w:sz w:val="18"/>
            <w:szCs w:val="18"/>
          </w:rPr>
          <w:t>Form 5500</w:t>
        </w:r>
      </w:hyperlink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D160D4" w:rsidRPr="00D160D4">
        <w:rPr>
          <w:rFonts w:asciiTheme="majorHAnsi" w:hAnsiTheme="majorHAnsi" w:cs="Times New Roman"/>
          <w:color w:val="000000"/>
          <w:sz w:val="18"/>
          <w:szCs w:val="18"/>
        </w:rPr>
        <w:t>annually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NOTE: </w:t>
      </w:r>
      <w:proofErr w:type="gramStart"/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These services should be provided by a Broker or Employer</w:t>
      </w:r>
      <w:proofErr w:type="gramEnd"/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.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>If eligibility for the wellness program and ma</w:t>
      </w:r>
      <w:r w:rsidR="007B371D" w:rsidRPr="00D160D4">
        <w:rPr>
          <w:rFonts w:asciiTheme="majorHAnsi" w:hAnsiTheme="majorHAnsi" w:cs="Times New Roman"/>
          <w:color w:val="000000"/>
          <w:sz w:val="18"/>
          <w:szCs w:val="18"/>
        </w:rPr>
        <w:t>jor medical plan are different (e.g.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7B371D" w:rsidRPr="00D160D4">
        <w:rPr>
          <w:rFonts w:asciiTheme="majorHAnsi" w:hAnsiTheme="majorHAnsi" w:cs="Times New Roman"/>
          <w:color w:val="000000"/>
          <w:sz w:val="18"/>
          <w:szCs w:val="18"/>
        </w:rPr>
        <w:t>FTEs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are eligible for medical but </w:t>
      </w:r>
      <w:r w:rsidR="00604AF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FTEs </w:t>
      </w:r>
      <w:r w:rsidR="00604AF5" w:rsidRPr="00D160D4">
        <w:rPr>
          <w:rFonts w:asciiTheme="majorHAnsi" w:hAnsiTheme="majorHAnsi" w:cs="Times New Roman"/>
          <w:i/>
          <w:color w:val="000000"/>
          <w:sz w:val="18"/>
          <w:szCs w:val="18"/>
        </w:rPr>
        <w:t>and</w:t>
      </w:r>
      <w:r w:rsidR="00604AF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PTEs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are el</w:t>
      </w:r>
      <w:r w:rsidR="007B371D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igible for the wellness program), </w:t>
      </w:r>
      <w:r w:rsidR="00604AF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the employer </w:t>
      </w:r>
      <w:r w:rsidR="00604AF5" w:rsidRPr="00D160D4">
        <w:rPr>
          <w:rFonts w:asciiTheme="majorHAnsi" w:hAnsiTheme="majorHAnsi" w:cs="Times New Roman"/>
          <w:i/>
          <w:color w:val="000000"/>
          <w:sz w:val="18"/>
          <w:szCs w:val="18"/>
        </w:rPr>
        <w:t>may</w:t>
      </w:r>
      <w:r w:rsidR="0095395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create a separate ERISA plan just for the wellness program. </w:t>
      </w:r>
    </w:p>
    <w:p w14:paraId="21237802" w14:textId="6AF1D77A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b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Fair Labor Standards Act (FLSA) </w:t>
      </w:r>
    </w:p>
    <w:p w14:paraId="68BF9C3F" w14:textId="4A4257B4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If participation in a wellness program is “compensable time,” then an employer has to pay time and a half for hours over 40 in a workweek.  These conditions will prevent a wellness program from being considered compensable: 1) </w:t>
      </w:r>
      <w:r w:rsidR="00D160D4">
        <w:rPr>
          <w:rFonts w:asciiTheme="majorHAnsi" w:hAnsiTheme="majorHAnsi" w:cs="Times New Roman"/>
          <w:color w:val="000000"/>
          <w:sz w:val="18"/>
          <w:szCs w:val="18"/>
        </w:rPr>
        <w:t xml:space="preserve">voluntary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attendance</w:t>
      </w:r>
      <w:r w:rsidR="00D160D4">
        <w:rPr>
          <w:rFonts w:asciiTheme="majorHAnsi" w:hAnsiTheme="majorHAnsi" w:cs="Times New Roman"/>
          <w:color w:val="000000"/>
          <w:sz w:val="18"/>
          <w:szCs w:val="18"/>
        </w:rPr>
        <w:t>;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D160D4">
        <w:rPr>
          <w:rFonts w:asciiTheme="majorHAnsi" w:hAnsiTheme="majorHAnsi" w:cs="Times New Roman"/>
          <w:color w:val="000000"/>
          <w:sz w:val="18"/>
          <w:szCs w:val="18"/>
        </w:rPr>
        <w:t>2) outside regular work hours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; 3) activity not directly related to the employee’s job; and 4) the employee does no productive work during the activity (e.g., answering e-mails). </w:t>
      </w:r>
    </w:p>
    <w:p w14:paraId="4E4A3F7E" w14:textId="7C5C893C" w:rsidR="00720424" w:rsidRPr="00D160D4" w:rsidRDefault="00720424" w:rsidP="001137BC">
      <w:pPr>
        <w:widowControl w:val="0"/>
        <w:autoSpaceDE w:val="0"/>
        <w:autoSpaceDN w:val="0"/>
        <w:adjustRightInd w:val="0"/>
        <w:spacing w:after="50" w:line="360" w:lineRule="atLeast"/>
        <w:rPr>
          <w:rFonts w:asciiTheme="majorHAnsi" w:hAnsiTheme="majorHAnsi" w:cs="Times"/>
          <w:b/>
          <w:bCs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>Flexible Spending Account</w:t>
      </w:r>
      <w:r w:rsidR="00A369BB"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>s</w:t>
      </w: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 (FSA) </w:t>
      </w:r>
    </w:p>
    <w:p w14:paraId="11729613" w14:textId="16471B8B" w:rsidR="0051579B" w:rsidRPr="00D160D4" w:rsidRDefault="00720424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If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8F78A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employees can earn 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>“credits”</w:t>
      </w:r>
      <w:r w:rsidR="008F78A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that an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employer</w:t>
      </w:r>
      <w:r w:rsidR="008F78A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depo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s</w:t>
      </w:r>
      <w:r w:rsidR="008F78A6" w:rsidRPr="00D160D4">
        <w:rPr>
          <w:rFonts w:asciiTheme="majorHAnsi" w:hAnsiTheme="majorHAnsi" w:cs="Times New Roman"/>
          <w:color w:val="000000"/>
          <w:sz w:val="18"/>
          <w:szCs w:val="18"/>
        </w:rPr>
        <w:t>its into an FSA, the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8F78A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max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amount </w:t>
      </w:r>
      <w:r w:rsidR="00A369B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should be $500 or less to ensure that FSAs don’t 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lose their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HIPAA-excepted benefit status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="008F78A6" w:rsidRPr="00D160D4">
        <w:rPr>
          <w:rFonts w:asciiTheme="majorHAnsi" w:hAnsiTheme="majorHAnsi" w:cs="Times New Roman"/>
          <w:color w:val="000000"/>
          <w:sz w:val="18"/>
          <w:szCs w:val="18"/>
        </w:rPr>
        <w:t>An alternative would be to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credit reward amounts to an FSA that is limited to dental and vision expenses. </w:t>
      </w:r>
    </w:p>
    <w:p w14:paraId="4C47F8C5" w14:textId="77777777" w:rsidR="000F4C9D" w:rsidRDefault="000F4C9D" w:rsidP="001137BC">
      <w:pPr>
        <w:spacing w:after="50"/>
        <w:rPr>
          <w:rFonts w:asciiTheme="majorHAnsi" w:hAnsiTheme="majorHAnsi" w:cs="Times"/>
          <w:b/>
          <w:bCs/>
          <w:iCs/>
          <w:color w:val="000000"/>
          <w:sz w:val="18"/>
          <w:szCs w:val="18"/>
        </w:rPr>
      </w:pPr>
      <w:r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br w:type="page"/>
      </w:r>
    </w:p>
    <w:p w14:paraId="1ACB292D" w14:textId="73883AE3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lastRenderedPageBreak/>
        <w:t>Genetic Info</w:t>
      </w:r>
      <w:r w:rsidR="0043437A"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>rmation Nondiscrimination Act (GINA</w:t>
      </w:r>
      <w:r w:rsidRPr="00D160D4">
        <w:rPr>
          <w:rFonts w:asciiTheme="majorHAnsi" w:hAnsiTheme="majorHAnsi" w:cs="Times"/>
          <w:b/>
          <w:bCs/>
          <w:iCs/>
          <w:color w:val="000000"/>
          <w:sz w:val="18"/>
          <w:szCs w:val="18"/>
        </w:rPr>
        <w:t xml:space="preserve">) </w:t>
      </w:r>
    </w:p>
    <w:p w14:paraId="3F68172D" w14:textId="504B51E6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Employers </w:t>
      </w:r>
      <w:r w:rsidR="002674E7" w:rsidRPr="00D160D4">
        <w:rPr>
          <w:rFonts w:asciiTheme="majorHAnsi" w:hAnsiTheme="majorHAnsi" w:cs="Times New Roman"/>
          <w:color w:val="000000"/>
          <w:sz w:val="18"/>
          <w:szCs w:val="18"/>
        </w:rPr>
        <w:t>can’t ask for or buy</w:t>
      </w:r>
      <w:r w:rsidR="002D6FA2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F714C2">
        <w:rPr>
          <w:rFonts w:asciiTheme="majorHAnsi" w:hAnsiTheme="majorHAnsi" w:cs="Times New Roman"/>
          <w:color w:val="000000"/>
          <w:sz w:val="18"/>
          <w:szCs w:val="18"/>
        </w:rPr>
        <w:t>genetic information</w:t>
      </w:r>
      <w:r w:rsidR="002D6FA2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; </w:t>
      </w:r>
      <w:r w:rsidR="002674E7" w:rsidRPr="00D160D4">
        <w:rPr>
          <w:rFonts w:asciiTheme="majorHAnsi" w:hAnsiTheme="majorHAnsi" w:cs="Times"/>
          <w:color w:val="000000"/>
          <w:sz w:val="18"/>
          <w:szCs w:val="18"/>
        </w:rPr>
        <w:t xml:space="preserve">if they </w:t>
      </w:r>
      <w:r w:rsidR="002D6FA2" w:rsidRPr="00D160D4">
        <w:rPr>
          <w:rFonts w:asciiTheme="majorHAnsi" w:hAnsiTheme="majorHAnsi" w:cs="Times"/>
          <w:color w:val="000000"/>
          <w:sz w:val="18"/>
          <w:szCs w:val="18"/>
        </w:rPr>
        <w:t>already have it, the information must</w:t>
      </w:r>
      <w:r w:rsidR="002674E7" w:rsidRPr="00D160D4">
        <w:rPr>
          <w:rFonts w:asciiTheme="majorHAnsi" w:hAnsiTheme="majorHAnsi" w:cs="Times"/>
          <w:color w:val="000000"/>
          <w:sz w:val="18"/>
          <w:szCs w:val="18"/>
        </w:rPr>
        <w:t xml:space="preserve"> be part of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a c</w:t>
      </w:r>
      <w:r w:rsidR="00062366" w:rsidRPr="00D160D4">
        <w:rPr>
          <w:rFonts w:asciiTheme="majorHAnsi" w:hAnsiTheme="majorHAnsi" w:cs="Times New Roman"/>
          <w:color w:val="000000"/>
          <w:sz w:val="18"/>
          <w:szCs w:val="18"/>
        </w:rPr>
        <w:t>onfidential medical record;</w:t>
      </w:r>
      <w:r w:rsidR="002D6FA2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and</w:t>
      </w:r>
      <w:r w:rsidR="002D6FA2" w:rsidRPr="00D160D4">
        <w:rPr>
          <w:rFonts w:asciiTheme="majorHAnsi" w:hAnsiTheme="majorHAnsi" w:cs="Times"/>
          <w:color w:val="000000"/>
          <w:sz w:val="18"/>
          <w:szCs w:val="18"/>
        </w:rPr>
        <w:t xml:space="preserve"> it can’t be used for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underwriting. </w:t>
      </w:r>
      <w:r w:rsidR="0006236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When a reward (incentive or penalty) is offered for wellness program participation, an HRA with family history questions may </w:t>
      </w:r>
      <w:r w:rsidR="00062366" w:rsidRPr="00D160D4">
        <w:rPr>
          <w:rFonts w:asciiTheme="majorHAnsi" w:hAnsiTheme="majorHAnsi" w:cs="Times New Roman"/>
          <w:i/>
          <w:color w:val="000000"/>
          <w:sz w:val="18"/>
          <w:szCs w:val="18"/>
        </w:rPr>
        <w:t>not</w:t>
      </w:r>
      <w:r w:rsidR="0006236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be used.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4B1B14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Family is defined </w:t>
      </w:r>
      <w:hyperlink r:id="rId8" w:history="1">
        <w:r w:rsidR="004B1B14" w:rsidRPr="00D160D4">
          <w:rPr>
            <w:rStyle w:val="Hyperlink"/>
            <w:rFonts w:asciiTheme="majorHAnsi" w:hAnsiTheme="majorHAnsi" w:cs="Times New Roman"/>
            <w:sz w:val="18"/>
            <w:szCs w:val="18"/>
          </w:rPr>
          <w:t>here</w:t>
        </w:r>
      </w:hyperlink>
      <w:proofErr w:type="gramStart"/>
      <w:r w:rsidR="004B1B14" w:rsidRPr="00D160D4">
        <w:rPr>
          <w:rFonts w:asciiTheme="majorHAnsi" w:hAnsiTheme="majorHAnsi" w:cs="Times New Roman"/>
          <w:color w:val="000000"/>
          <w:sz w:val="18"/>
          <w:szCs w:val="18"/>
        </w:rPr>
        <w:t>.</w:t>
      </w:r>
      <w:r w:rsidR="004B1B14" w:rsidRPr="00D160D4">
        <w:rPr>
          <w:rFonts w:asciiTheme="majorHAnsi" w:hAnsiTheme="majorHAnsi" w:cs="Times"/>
          <w:color w:val="000000"/>
          <w:sz w:val="18"/>
          <w:szCs w:val="18"/>
        </w:rPr>
        <w:t> </w:t>
      </w:r>
      <w:proofErr w:type="gramEnd"/>
      <w:r w:rsidR="004B1B14" w:rsidRPr="00D160D4">
        <w:rPr>
          <w:rFonts w:asciiTheme="majorHAnsi" w:hAnsiTheme="majorHAnsi" w:cs="Times"/>
          <w:color w:val="000000"/>
          <w:sz w:val="18"/>
          <w:szCs w:val="18"/>
        </w:rPr>
        <w:t xml:space="preserve">If a spouse (but </w:t>
      </w:r>
      <w:r w:rsidR="004B1B14" w:rsidRPr="00F714C2">
        <w:rPr>
          <w:rFonts w:asciiTheme="majorHAnsi" w:hAnsiTheme="majorHAnsi" w:cs="Times"/>
          <w:i/>
          <w:color w:val="000000"/>
          <w:sz w:val="18"/>
          <w:szCs w:val="18"/>
        </w:rPr>
        <w:t>not</w:t>
      </w:r>
      <w:r w:rsidR="004B1B14" w:rsidRPr="00D160D4">
        <w:rPr>
          <w:rFonts w:asciiTheme="majorHAnsi" w:hAnsiTheme="majorHAnsi" w:cs="Times"/>
          <w:color w:val="000000"/>
          <w:sz w:val="18"/>
          <w:szCs w:val="18"/>
        </w:rPr>
        <w:t xml:space="preserve"> children) can qualify for a reward based on</w:t>
      </w:r>
      <w:r w:rsidR="00BB589D">
        <w:rPr>
          <w:rFonts w:asciiTheme="majorHAnsi" w:hAnsiTheme="majorHAnsi" w:cs="Times"/>
          <w:color w:val="000000"/>
          <w:sz w:val="18"/>
          <w:szCs w:val="18"/>
        </w:rPr>
        <w:t xml:space="preserve"> biometric testing </w:t>
      </w:r>
      <w:r w:rsidR="00BB589D" w:rsidRPr="00BB589D">
        <w:rPr>
          <w:rFonts w:asciiTheme="majorHAnsi" w:hAnsiTheme="majorHAnsi" w:cs="Times"/>
          <w:i/>
          <w:color w:val="000000"/>
          <w:sz w:val="18"/>
          <w:szCs w:val="18"/>
        </w:rPr>
        <w:t>or</w:t>
      </w:r>
      <w:r w:rsidR="004B1B14" w:rsidRPr="00D160D4">
        <w:rPr>
          <w:rFonts w:asciiTheme="majorHAnsi" w:hAnsiTheme="majorHAnsi" w:cs="Times"/>
          <w:color w:val="000000"/>
          <w:sz w:val="18"/>
          <w:szCs w:val="18"/>
        </w:rPr>
        <w:t xml:space="preserve"> HRA completion (with genetic information or not)</w:t>
      </w:r>
      <w:r w:rsidR="00F714C2">
        <w:rPr>
          <w:rFonts w:asciiTheme="majorHAnsi" w:hAnsiTheme="majorHAnsi" w:cs="Times"/>
          <w:color w:val="000000"/>
          <w:sz w:val="18"/>
          <w:szCs w:val="18"/>
        </w:rPr>
        <w:t>,</w:t>
      </w:r>
      <w:r w:rsidR="00BB589D">
        <w:rPr>
          <w:rFonts w:asciiTheme="majorHAnsi" w:hAnsiTheme="majorHAnsi" w:cs="Times"/>
          <w:color w:val="000000"/>
          <w:sz w:val="18"/>
          <w:szCs w:val="18"/>
        </w:rPr>
        <w:t xml:space="preserve"> the reward is subject to the </w:t>
      </w:r>
      <w:r w:rsidR="004B1B14" w:rsidRPr="00D160D4">
        <w:rPr>
          <w:rFonts w:asciiTheme="majorHAnsi" w:hAnsiTheme="majorHAnsi" w:cs="Times New Roman"/>
          <w:color w:val="000000"/>
          <w:sz w:val="18"/>
          <w:szCs w:val="18"/>
        </w:rPr>
        <w:t>ADA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 xml:space="preserve"> rules above</w:t>
      </w:r>
      <w:r w:rsidR="004B1B14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4B1B14" w:rsidRPr="00D160D4">
        <w:rPr>
          <w:rFonts w:asciiTheme="majorHAnsi" w:hAnsiTheme="majorHAnsi" w:cs="Times New Roman"/>
          <w:i/>
          <w:color w:val="000000"/>
          <w:sz w:val="18"/>
          <w:szCs w:val="18"/>
        </w:rPr>
        <w:t>plus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4B1B14" w:rsidRPr="00D160D4">
        <w:rPr>
          <w:rFonts w:asciiTheme="majorHAnsi" w:hAnsiTheme="majorHAnsi" w:cs="Times"/>
          <w:color w:val="000000"/>
          <w:sz w:val="18"/>
          <w:szCs w:val="18"/>
        </w:rPr>
        <w:t xml:space="preserve">the 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spouse must 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receive 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notice </w:t>
      </w:r>
      <w:r w:rsidR="00BB589D">
        <w:rPr>
          <w:rFonts w:asciiTheme="majorHAnsi" w:hAnsiTheme="majorHAnsi" w:cs="Times New Roman"/>
          <w:color w:val="262626"/>
          <w:sz w:val="18"/>
          <w:szCs w:val="18"/>
        </w:rPr>
        <w:t>that the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 information 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>will be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 provided 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>to trained professionals if required f</w:t>
      </w:r>
      <w:r w:rsidR="00BB589D">
        <w:rPr>
          <w:rFonts w:asciiTheme="majorHAnsi" w:hAnsiTheme="majorHAnsi" w:cs="Times New Roman"/>
          <w:color w:val="262626"/>
          <w:sz w:val="18"/>
          <w:szCs w:val="18"/>
        </w:rPr>
        <w:t xml:space="preserve">or 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>health</w:t>
      </w:r>
      <w:r w:rsidR="00BB589D">
        <w:rPr>
          <w:rFonts w:asciiTheme="majorHAnsi" w:hAnsiTheme="majorHAnsi" w:cs="Times New Roman"/>
          <w:color w:val="262626"/>
          <w:sz w:val="18"/>
          <w:szCs w:val="18"/>
        </w:rPr>
        <w:t xml:space="preserve"> reasons 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>and that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 information will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 not 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>shared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 </w:t>
      </w:r>
      <w:r w:rsidR="004B1B14" w:rsidRPr="00D160D4">
        <w:rPr>
          <w:rFonts w:asciiTheme="majorHAnsi" w:hAnsiTheme="majorHAnsi" w:cs="Times New Roman"/>
          <w:color w:val="262626"/>
          <w:sz w:val="18"/>
          <w:szCs w:val="18"/>
        </w:rPr>
        <w:t>with</w:t>
      </w:r>
      <w:r w:rsidRPr="00D160D4">
        <w:rPr>
          <w:rFonts w:asciiTheme="majorHAnsi" w:hAnsiTheme="majorHAnsi" w:cs="Times New Roman"/>
          <w:color w:val="262626"/>
          <w:sz w:val="18"/>
          <w:szCs w:val="18"/>
        </w:rPr>
        <w:t xml:space="preserve"> the employer. </w:t>
      </w:r>
    </w:p>
    <w:p w14:paraId="73F40D73" w14:textId="77777777" w:rsidR="0051579B" w:rsidRPr="00D160D4" w:rsidRDefault="0051579B" w:rsidP="001137BC">
      <w:pPr>
        <w:widowControl w:val="0"/>
        <w:autoSpaceDE w:val="0"/>
        <w:autoSpaceDN w:val="0"/>
        <w:adjustRightInd w:val="0"/>
        <w:spacing w:after="50" w:line="36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HIPAA Nondiscrimination </w:t>
      </w:r>
    </w:p>
    <w:p w14:paraId="74B4D79B" w14:textId="7E9E8D8C" w:rsidR="0051579B" w:rsidRPr="00D160D4" w:rsidRDefault="00A369BB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A wellness program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that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includes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>“medical care”</w:t>
      </w:r>
      <w:r w:rsidR="00977F03" w:rsidRPr="00D160D4">
        <w:rPr>
          <w:rFonts w:asciiTheme="majorHAnsi" w:hAnsiTheme="majorHAnsi" w:cs="Times New Roman"/>
          <w:color w:val="000000"/>
          <w:sz w:val="18"/>
          <w:szCs w:val="18"/>
        </w:rPr>
        <w:t>, or health assessments (disability-related inquiries such as depression)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must be available to all similarly situated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employees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regardless of health status.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It is illegal to restrict benefit options to 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 xml:space="preserve">only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wellness program participants </w:t>
      </w:r>
      <w:r w:rsidR="00BB589D" w:rsidRPr="00BB589D">
        <w:rPr>
          <w:rFonts w:asciiTheme="majorHAnsi" w:hAnsiTheme="majorHAnsi" w:cs="Times New Roman"/>
          <w:i/>
          <w:color w:val="000000"/>
          <w:sz w:val="18"/>
          <w:szCs w:val="18"/>
        </w:rPr>
        <w:t>or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to those who meet a health factor based standard (e.g. not smoking). However, it is legal to charge more for benefit options. </w:t>
      </w:r>
    </w:p>
    <w:p w14:paraId="633BEFC0" w14:textId="77777777" w:rsidR="0051579B" w:rsidRPr="00D160D4" w:rsidRDefault="0051579B" w:rsidP="001137BC">
      <w:pPr>
        <w:widowControl w:val="0"/>
        <w:autoSpaceDE w:val="0"/>
        <w:autoSpaceDN w:val="0"/>
        <w:adjustRightInd w:val="0"/>
        <w:spacing w:after="50" w:line="36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HIPAA Privacy and Security </w:t>
      </w:r>
    </w:p>
    <w:p w14:paraId="26CA3E11" w14:textId="155BF812" w:rsidR="0051579B" w:rsidRPr="00D160D4" w:rsidRDefault="000F4C9D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>
        <w:rPr>
          <w:rFonts w:asciiTheme="majorHAnsi" w:hAnsiTheme="majorHAnsi" w:cs="Times New Roman"/>
          <w:color w:val="000000"/>
          <w:sz w:val="18"/>
          <w:szCs w:val="18"/>
        </w:rPr>
        <w:t>These rules don’t apply to s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>elf-insured companies that run a health plan with 50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 xml:space="preserve"> or fewer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 xml:space="preserve">eligible employees </w:t>
      </w:r>
      <w:r w:rsidRPr="000F4C9D">
        <w:rPr>
          <w:rFonts w:asciiTheme="majorHAnsi" w:hAnsiTheme="majorHAnsi" w:cs="Times New Roman"/>
          <w:i/>
          <w:color w:val="000000"/>
          <w:sz w:val="18"/>
          <w:szCs w:val="18"/>
        </w:rPr>
        <w:t>or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 xml:space="preserve"> to dental/vision plans. </w:t>
      </w:r>
      <w:r>
        <w:rPr>
          <w:rFonts w:asciiTheme="majorHAnsi" w:hAnsiTheme="majorHAnsi" w:cs="Times New Roman"/>
          <w:color w:val="000000"/>
          <w:sz w:val="18"/>
          <w:szCs w:val="18"/>
        </w:rPr>
        <w:t>Otherwise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>, a</w:t>
      </w:r>
      <w:r w:rsidR="00977F0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wellness program</w:t>
      </w:r>
      <w:r w:rsidR="00A14A1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that 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>provides</w:t>
      </w:r>
      <w:r w:rsidR="00A14A1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“medical care” (see </w:t>
      </w:r>
      <w:r w:rsidR="005F4770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ERISA 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section </w:t>
      </w:r>
      <w:r w:rsidR="00A14A1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above) OR that 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>is</w:t>
      </w:r>
      <w:r w:rsidR="00A14A1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linked to a health plan 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 xml:space="preserve">(do wellness activity to earn a benefit) </w:t>
      </w:r>
      <w:r w:rsidR="00A14A1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must follow </w:t>
      </w:r>
      <w:hyperlink r:id="rId9" w:history="1">
        <w:r w:rsidR="00A14A18" w:rsidRPr="00D160D4">
          <w:rPr>
            <w:rStyle w:val="Hyperlink"/>
            <w:rFonts w:asciiTheme="majorHAnsi" w:hAnsiTheme="majorHAnsi" w:cs="Times New Roman"/>
            <w:sz w:val="18"/>
            <w:szCs w:val="18"/>
          </w:rPr>
          <w:t>HIPAA Privacy and Security rules</w:t>
        </w:r>
      </w:hyperlink>
      <w:r w:rsidR="00A14A1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="00615396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1D5AB5" w:rsidRPr="00D160D4">
        <w:rPr>
          <w:rFonts w:asciiTheme="majorHAnsi" w:hAnsiTheme="majorHAnsi" w:cs="Times New Roman"/>
          <w:color w:val="000000"/>
          <w:sz w:val="18"/>
          <w:szCs w:val="18"/>
        </w:rPr>
        <w:t>The HIPAA Privacy and Security rules used for a medical pl</w:t>
      </w:r>
      <w:r w:rsidR="00C376A5">
        <w:rPr>
          <w:rFonts w:asciiTheme="majorHAnsi" w:hAnsiTheme="majorHAnsi" w:cs="Times New Roman"/>
          <w:color w:val="000000"/>
          <w:sz w:val="18"/>
          <w:szCs w:val="18"/>
        </w:rPr>
        <w:t>an can cover a wellness program</w:t>
      </w:r>
      <w:r w:rsidR="001D5AB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A</w:t>
      </w:r>
      <w:r w:rsidR="001D5AB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Business Associate Agreement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1D5AB5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should be executed </w:t>
      </w:r>
      <w:r w:rsidR="006A258C">
        <w:rPr>
          <w:rFonts w:asciiTheme="majorHAnsi" w:hAnsiTheme="majorHAnsi" w:cs="Times New Roman"/>
          <w:color w:val="000000"/>
          <w:sz w:val="18"/>
          <w:szCs w:val="18"/>
        </w:rPr>
        <w:t>with all wellness vendors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</w:p>
    <w:p w14:paraId="37BBC9A0" w14:textId="77E10F1D" w:rsidR="0051579B" w:rsidRPr="00D160D4" w:rsidRDefault="0051579B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>Mental Health Pa</w:t>
      </w:r>
      <w:r w:rsidR="0043437A"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>rity and Addiction Equity Act (MHPAEA</w:t>
      </w: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) </w:t>
      </w:r>
    </w:p>
    <w:p w14:paraId="3A32C27C" w14:textId="7810CA0A" w:rsidR="0051579B" w:rsidRPr="00D160D4" w:rsidRDefault="00733D15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This </w:t>
      </w:r>
      <w:r w:rsidR="002C7B28">
        <w:rPr>
          <w:rFonts w:asciiTheme="majorHAnsi" w:hAnsiTheme="majorHAnsi" w:cs="Times New Roman"/>
          <w:color w:val="000000"/>
          <w:sz w:val="18"/>
          <w:szCs w:val="18"/>
        </w:rPr>
        <w:t>act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legislates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parity between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medical and mental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benefits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="00BB589D">
        <w:rPr>
          <w:rFonts w:asciiTheme="majorHAnsi" w:hAnsiTheme="majorHAnsi" w:cs="Times New Roman"/>
          <w:color w:val="000000"/>
          <w:sz w:val="18"/>
          <w:szCs w:val="18"/>
        </w:rPr>
        <w:t>H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ealth plans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can’t have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higher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or separate 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>deductibles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or co-pays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for mental health/sub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stance use disorder treatments, n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icotine addiction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included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>W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ellness programs 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>that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pay for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“stop smoking” 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drugs 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are subject to this rule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but 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>clea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rer definitions are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forthcoming.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Employers 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>that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4C62E8" w:rsidRPr="00D160D4">
        <w:rPr>
          <w:rFonts w:asciiTheme="majorHAnsi" w:hAnsiTheme="majorHAnsi" w:cs="Times New Roman"/>
          <w:color w:val="000000"/>
          <w:sz w:val="18"/>
          <w:szCs w:val="18"/>
        </w:rPr>
        <w:t>limit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smoking cessation drugs or counseling should consult with their legal counsel. </w:t>
      </w:r>
    </w:p>
    <w:p w14:paraId="4C9AA3C0" w14:textId="63E6C379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iCs/>
          <w:color w:val="262626"/>
          <w:sz w:val="18"/>
          <w:szCs w:val="18"/>
        </w:rPr>
        <w:t xml:space="preserve">New Quality of Care Reporting </w:t>
      </w:r>
    </w:p>
    <w:p w14:paraId="0ECABB3E" w14:textId="5C398BEC" w:rsidR="0089364E" w:rsidRPr="00D160D4" w:rsidRDefault="004C62E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Group health plans must report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yearly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to the HHS </w:t>
      </w:r>
      <w:r w:rsidRPr="00D160D4">
        <w:rPr>
          <w:rFonts w:asciiTheme="majorHAnsi" w:hAnsiTheme="majorHAnsi" w:cs="Times New Roman"/>
          <w:i/>
          <w:color w:val="000000"/>
          <w:sz w:val="18"/>
          <w:szCs w:val="18"/>
        </w:rPr>
        <w:t>and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enrollees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(during open enrollment)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regarding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wellness/prevention services delivered including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HRA’s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completed;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>face-to-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>face, telephonic, or web-based intervention efforts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; and participation in smoking cessation, weight </w:t>
      </w:r>
      <w:r w:rsidR="000F4C9D">
        <w:rPr>
          <w:rFonts w:asciiTheme="majorHAnsi" w:hAnsiTheme="majorHAnsi" w:cs="Times New Roman"/>
          <w:color w:val="000000"/>
          <w:sz w:val="18"/>
          <w:szCs w:val="18"/>
        </w:rPr>
        <w:t xml:space="preserve">or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stress management, heart disease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or diabetes prevention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,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and other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h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>e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althy lifestyle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programs. </w:t>
      </w:r>
      <w:r w:rsidR="006A258C">
        <w:rPr>
          <w:rFonts w:asciiTheme="majorHAnsi" w:hAnsiTheme="majorHAnsi" w:cs="Times New Roman"/>
          <w:color w:val="000000"/>
          <w:sz w:val="18"/>
          <w:szCs w:val="18"/>
        </w:rPr>
        <w:t>A good vendor should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facilitate this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.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</w:p>
    <w:p w14:paraId="485BF433" w14:textId="76C9DB43" w:rsidR="0051579B" w:rsidRPr="00D160D4" w:rsidRDefault="0051579B" w:rsidP="001137BC">
      <w:pPr>
        <w:widowControl w:val="0"/>
        <w:autoSpaceDE w:val="0"/>
        <w:autoSpaceDN w:val="0"/>
        <w:adjustRightInd w:val="0"/>
        <w:spacing w:after="50" w:line="36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>Patient Prote</w:t>
      </w:r>
      <w:r w:rsidR="0043437A"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>ction and Affordable Care Act (PPACA)</w:t>
      </w: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 </w:t>
      </w:r>
    </w:p>
    <w:p w14:paraId="17066EA7" w14:textId="72FB2C09" w:rsidR="0051579B" w:rsidRPr="001137BC" w:rsidRDefault="0051579B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If a wellness program va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ries a benefit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for </w:t>
      </w:r>
      <w:r w:rsidRPr="001137BC">
        <w:rPr>
          <w:rFonts w:asciiTheme="majorHAnsi" w:hAnsiTheme="majorHAnsi" w:cs="Times New Roman"/>
          <w:i/>
          <w:color w:val="000000"/>
          <w:sz w:val="18"/>
          <w:szCs w:val="18"/>
        </w:rPr>
        <w:t>any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service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listed in the Sum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mary of Benefits and Coverage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, then the calculations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must assume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wellness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participation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and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it mus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t be explained </w:t>
      </w:r>
      <w:proofErr w:type="spellStart"/>
      <w:r w:rsidR="001137BC">
        <w:rPr>
          <w:rFonts w:asciiTheme="majorHAnsi" w:hAnsiTheme="majorHAnsi" w:cs="Times New Roman"/>
          <w:color w:val="000000"/>
          <w:sz w:val="18"/>
          <w:szCs w:val="18"/>
        </w:rPr>
        <w:t>e.g.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,</w:t>
      </w:r>
      <w:r w:rsidR="0043437A"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>“These</w:t>
      </w:r>
      <w:proofErr w:type="spellEnd"/>
      <w:r w:rsidR="0043437A"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 xml:space="preserve"> numbers assume the employee </w:t>
      </w:r>
      <w:r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>is participating in our diabetes program. If you have diabetes and do not participate in the wellness program, your costs may be higher</w:t>
      </w:r>
      <w:r w:rsidR="0043437A"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>…</w:t>
      </w:r>
      <w:r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 xml:space="preserve">” </w:t>
      </w:r>
      <w:r w:rsidR="0043437A" w:rsidRPr="00D160D4">
        <w:rPr>
          <w:rFonts w:asciiTheme="majorHAnsi" w:hAnsiTheme="majorHAnsi" w:cs="Times New Roman"/>
          <w:color w:val="000000"/>
          <w:sz w:val="18"/>
          <w:szCs w:val="18"/>
        </w:rPr>
        <w:t>Effective April 2017, three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things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must be included in the SBC: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pregnancy 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>diabetes, and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simple fracture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>s.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>PPACA includes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hyperlink r:id="rId10" w:history="1">
        <w:r w:rsidRPr="00D160D4">
          <w:rPr>
            <w:rStyle w:val="Hyperlink"/>
            <w:rFonts w:asciiTheme="majorHAnsi" w:hAnsiTheme="majorHAnsi" w:cs="Times New Roman"/>
            <w:sz w:val="18"/>
            <w:szCs w:val="18"/>
          </w:rPr>
          <w:t>Employer Shared Responsibility</w:t>
        </w:r>
      </w:hyperlink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which mandates a penalty for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not adequately insuring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employees based on several criteria.</w:t>
      </w:r>
      <w:r w:rsidR="00D35053" w:rsidRPr="00D160D4">
        <w:rPr>
          <w:rFonts w:asciiTheme="majorHAnsi" w:hAnsiTheme="majorHAnsi" w:cs="Times"/>
          <w:color w:val="000000"/>
          <w:sz w:val="18"/>
          <w:szCs w:val="18"/>
        </w:rPr>
        <w:t xml:space="preserve"> 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The IRS has issued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final regulations 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>to help companies determine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the </w:t>
      </w:r>
      <w:hyperlink r:id="rId11" w:history="1">
        <w:r w:rsidR="00D35053" w:rsidRPr="00D160D4">
          <w:rPr>
            <w:rStyle w:val="Hyperlink"/>
            <w:rFonts w:asciiTheme="majorHAnsi" w:hAnsiTheme="majorHAnsi" w:cs="Times New Roman"/>
            <w:sz w:val="18"/>
            <w:szCs w:val="18"/>
          </w:rPr>
          <w:t>penalty and medical plan affordability</w:t>
        </w:r>
      </w:hyperlink>
      <w:r w:rsidR="00D35053" w:rsidRPr="00D160D4">
        <w:rPr>
          <w:rFonts w:asciiTheme="majorHAnsi" w:hAnsiTheme="majorHAnsi" w:cs="Times New Roman"/>
          <w:color w:val="000000"/>
          <w:sz w:val="18"/>
          <w:szCs w:val="18"/>
        </w:rPr>
        <w:t>.</w:t>
      </w:r>
    </w:p>
    <w:p w14:paraId="1B012429" w14:textId="77777777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i/>
          <w:iCs/>
          <w:color w:val="000000"/>
          <w:sz w:val="18"/>
          <w:szCs w:val="18"/>
        </w:rPr>
        <w:t xml:space="preserve">Section 125 Cafeteria Plans </w:t>
      </w:r>
    </w:p>
    <w:p w14:paraId="15D4EA5A" w14:textId="1C620784" w:rsidR="0089364E" w:rsidRPr="00D160D4" w:rsidRDefault="0089364E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Depending on the size of a premium change, either an employer or an employee can make changes to the cafeteria plan. </w:t>
      </w:r>
    </w:p>
    <w:p w14:paraId="7E0BF657" w14:textId="77777777" w:rsidR="0051579B" w:rsidRPr="00D160D4" w:rsidRDefault="0051579B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"/>
          <w:b/>
          <w:bCs/>
          <w:color w:val="000000"/>
          <w:sz w:val="18"/>
          <w:szCs w:val="18"/>
        </w:rPr>
        <w:t xml:space="preserve">Tax Rules for Rewards </w:t>
      </w:r>
    </w:p>
    <w:p w14:paraId="1CE62325" w14:textId="3EE836F8" w:rsidR="005A5D85" w:rsidRPr="00D160D4" w:rsidRDefault="00744615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"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A w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ellness program 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>that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meets 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>nondiscrimination requirements is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1137BC">
        <w:rPr>
          <w:rFonts w:asciiTheme="majorHAnsi" w:hAnsiTheme="majorHAnsi" w:cs="Times New Roman"/>
          <w:color w:val="000000"/>
          <w:sz w:val="18"/>
          <w:szCs w:val="18"/>
        </w:rPr>
        <w:t>likely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="0089364E" w:rsidRPr="00D160D4">
        <w:rPr>
          <w:rFonts w:asciiTheme="majorHAnsi" w:hAnsiTheme="majorHAnsi" w:cs="Times New Roman"/>
          <w:i/>
          <w:color w:val="000000"/>
          <w:sz w:val="18"/>
          <w:szCs w:val="18"/>
        </w:rPr>
        <w:t>not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liable for employment taxes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on</w:t>
      </w:r>
      <w:r w:rsidR="0089364E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reduced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premium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s, co-pay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s, or deductibles;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or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employer contributions to an HRA, HSA, or FSA. </w:t>
      </w:r>
      <w:r w:rsidRPr="00D160D4">
        <w:rPr>
          <w:rFonts w:asciiTheme="majorHAnsi" w:hAnsiTheme="majorHAnsi" w:cs="Times"/>
          <w:color w:val="000000"/>
          <w:sz w:val="18"/>
          <w:szCs w:val="18"/>
        </w:rPr>
        <w:t xml:space="preserve">Cash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>r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ewards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(e.g. a bonus, gift cards, or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product </w:t>
      </w:r>
      <w:r w:rsidR="001137BC" w:rsidRPr="00D160D4">
        <w:rPr>
          <w:rFonts w:asciiTheme="majorHAnsi" w:hAnsiTheme="majorHAnsi" w:cs="Times New Roman"/>
          <w:color w:val="000000"/>
          <w:sz w:val="18"/>
          <w:szCs w:val="18"/>
        </w:rPr>
        <w:t>discounts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) given from the employer to the employee </w:t>
      </w:r>
      <w:r w:rsidR="0051579B" w:rsidRPr="001137BC">
        <w:rPr>
          <w:rFonts w:asciiTheme="majorHAnsi" w:hAnsiTheme="majorHAnsi" w:cs="Times New Roman"/>
          <w:i/>
          <w:color w:val="000000"/>
          <w:sz w:val="18"/>
          <w:szCs w:val="18"/>
        </w:rPr>
        <w:t>are</w:t>
      </w:r>
      <w:r w:rsidR="0051579B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subject to employment taxes. </w:t>
      </w:r>
      <w:r w:rsidR="006A258C">
        <w:rPr>
          <w:rFonts w:asciiTheme="majorHAnsi" w:hAnsiTheme="majorHAnsi" w:cs="Times New Roman"/>
          <w:color w:val="000000"/>
          <w:sz w:val="18"/>
          <w:szCs w:val="18"/>
        </w:rPr>
        <w:t>S</w:t>
      </w:r>
      <w:r w:rsidR="006A258C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mall rewards (T-shirts, mugs, </w:t>
      </w:r>
      <w:proofErr w:type="spellStart"/>
      <w:r w:rsidR="006A258C" w:rsidRPr="00D160D4">
        <w:rPr>
          <w:rFonts w:asciiTheme="majorHAnsi" w:hAnsiTheme="majorHAnsi" w:cs="Times New Roman"/>
          <w:color w:val="000000"/>
          <w:sz w:val="18"/>
          <w:szCs w:val="18"/>
        </w:rPr>
        <w:t>etc</w:t>
      </w:r>
      <w:proofErr w:type="spellEnd"/>
      <w:r w:rsidR="006A258C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) qualify as </w:t>
      </w:r>
      <w:r w:rsidR="006A258C"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 xml:space="preserve">de </w:t>
      </w:r>
      <w:proofErr w:type="spellStart"/>
      <w:r w:rsidR="006A258C"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>minimis</w:t>
      </w:r>
      <w:proofErr w:type="spellEnd"/>
      <w:r w:rsidR="006A258C" w:rsidRPr="00D160D4">
        <w:rPr>
          <w:rFonts w:asciiTheme="majorHAnsi" w:hAnsiTheme="majorHAnsi" w:cs="Times"/>
          <w:i/>
          <w:iCs/>
          <w:color w:val="000000"/>
          <w:sz w:val="18"/>
          <w:szCs w:val="18"/>
        </w:rPr>
        <w:t xml:space="preserve"> </w:t>
      </w:r>
      <w:r w:rsidR="006A258C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fringe benefits and are </w:t>
      </w:r>
      <w:r w:rsidR="006A258C">
        <w:rPr>
          <w:rFonts w:asciiTheme="majorHAnsi" w:hAnsiTheme="majorHAnsi" w:cs="Times New Roman"/>
          <w:color w:val="000000"/>
          <w:sz w:val="18"/>
          <w:szCs w:val="18"/>
        </w:rPr>
        <w:t>not taxable</w:t>
      </w:r>
      <w:r w:rsidR="006A258C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. See the IRS </w:t>
      </w:r>
      <w:hyperlink r:id="rId12" w:history="1">
        <w:r w:rsidR="006A258C" w:rsidRPr="00D160D4">
          <w:rPr>
            <w:rStyle w:val="Hyperlink"/>
            <w:rFonts w:asciiTheme="majorHAnsi" w:hAnsiTheme="majorHAnsi" w:cs="Times New Roman"/>
            <w:sz w:val="18"/>
            <w:szCs w:val="18"/>
          </w:rPr>
          <w:t>guidelines</w:t>
        </w:r>
      </w:hyperlink>
      <w:r w:rsidR="006A258C"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 on fringe benefits</w:t>
      </w:r>
      <w:r w:rsidR="006A258C" w:rsidRPr="00D160D4">
        <w:rPr>
          <w:rFonts w:asciiTheme="majorHAnsi" w:hAnsiTheme="majorHAnsi" w:cs="Times New Roman"/>
          <w:color w:val="0000FF"/>
          <w:sz w:val="18"/>
          <w:szCs w:val="18"/>
        </w:rPr>
        <w:t xml:space="preserve">.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NOTE: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>O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ur opinion 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is </w:t>
      </w:r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that incentives </w:t>
      </w:r>
      <w:r w:rsidR="006A258C">
        <w:rPr>
          <w:rFonts w:asciiTheme="majorHAnsi" w:hAnsiTheme="majorHAnsi" w:cs="Times New Roman"/>
          <w:color w:val="000000"/>
          <w:sz w:val="18"/>
          <w:szCs w:val="18"/>
        </w:rPr>
        <w:t xml:space="preserve">provided by the vendor to the employee </w:t>
      </w:r>
      <w:bookmarkStart w:id="0" w:name="_GoBack"/>
      <w:bookmarkEnd w:id="0"/>
      <w:r w:rsidRPr="00D160D4">
        <w:rPr>
          <w:rFonts w:asciiTheme="majorHAnsi" w:hAnsiTheme="majorHAnsi" w:cs="Times New Roman"/>
          <w:color w:val="000000"/>
          <w:sz w:val="18"/>
          <w:szCs w:val="18"/>
        </w:rPr>
        <w:t xml:space="preserve">are </w:t>
      </w:r>
      <w:r w:rsidRPr="00D160D4">
        <w:rPr>
          <w:rFonts w:asciiTheme="majorHAnsi" w:hAnsiTheme="majorHAnsi" w:cs="Times New Roman"/>
          <w:i/>
          <w:color w:val="000000"/>
          <w:sz w:val="18"/>
          <w:szCs w:val="18"/>
        </w:rPr>
        <w:t>not</w:t>
      </w:r>
      <w:r w:rsidR="001137BC">
        <w:rPr>
          <w:rFonts w:asciiTheme="majorHAnsi" w:hAnsiTheme="majorHAnsi" w:cs="Times New Roman"/>
          <w:color w:val="000000"/>
          <w:sz w:val="18"/>
          <w:szCs w:val="18"/>
        </w:rPr>
        <w:t xml:space="preserve"> subject to employment taxes</w:t>
      </w:r>
      <w:r w:rsidR="006A258C">
        <w:rPr>
          <w:rFonts w:asciiTheme="majorHAnsi" w:hAnsiTheme="majorHAnsi" w:cs="Times New Roman"/>
          <w:color w:val="000000"/>
          <w:sz w:val="18"/>
          <w:szCs w:val="18"/>
        </w:rPr>
        <w:t xml:space="preserve"> if they come directly out of vendor operating costs. </w:t>
      </w:r>
      <w:r w:rsidR="005A5D85" w:rsidRPr="00D160D4">
        <w:rPr>
          <w:rFonts w:asciiTheme="majorHAnsi" w:hAnsiTheme="majorHAnsi" w:cs="Times New Roman"/>
          <w:color w:val="000000"/>
          <w:sz w:val="18"/>
          <w:szCs w:val="18"/>
        </w:rPr>
        <w:t>Tax lawyers should be consulted for additional advice.</w:t>
      </w:r>
    </w:p>
    <w:p w14:paraId="7D8C79E2" w14:textId="77777777" w:rsidR="00D35053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b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b/>
          <w:color w:val="000000"/>
          <w:sz w:val="18"/>
          <w:szCs w:val="18"/>
        </w:rPr>
        <w:t xml:space="preserve">Title VII </w:t>
      </w:r>
    </w:p>
    <w:p w14:paraId="59EA11A1" w14:textId="112CC8F8" w:rsidR="00A14A18" w:rsidRPr="00D160D4" w:rsidRDefault="00A14A18" w:rsidP="001137BC">
      <w:pPr>
        <w:widowControl w:val="0"/>
        <w:autoSpaceDE w:val="0"/>
        <w:autoSpaceDN w:val="0"/>
        <w:adjustRightInd w:val="0"/>
        <w:spacing w:after="50" w:line="340" w:lineRule="atLeast"/>
        <w:rPr>
          <w:rFonts w:asciiTheme="majorHAnsi" w:hAnsiTheme="majorHAnsi" w:cs="Times New Roman"/>
          <w:b/>
          <w:color w:val="000000"/>
          <w:sz w:val="18"/>
          <w:szCs w:val="18"/>
        </w:rPr>
      </w:pPr>
      <w:r w:rsidRPr="00D160D4">
        <w:rPr>
          <w:rFonts w:asciiTheme="majorHAnsi" w:hAnsiTheme="majorHAnsi" w:cs="Times New Roman"/>
          <w:color w:val="000000"/>
          <w:sz w:val="18"/>
          <w:szCs w:val="18"/>
        </w:rPr>
        <w:t>A wellness program cannot discriminate based on employee race, religion, sex, color, or national original.</w:t>
      </w:r>
    </w:p>
    <w:sectPr w:rsidR="00A14A18" w:rsidRPr="00D160D4" w:rsidSect="000F4C9D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2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."/>
      <w:lvlJc w:val="left"/>
      <w:pPr>
        <w:ind w:left="720" w:hanging="360"/>
      </w:pPr>
    </w:lvl>
    <w:lvl w:ilvl="1" w:tplc="0000012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005"/>
    <w:multiLevelType w:val="hybridMultilevel"/>
    <w:tmpl w:val="00000005"/>
    <w:lvl w:ilvl="0" w:tplc="0000019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79B"/>
    <w:rsid w:val="00062366"/>
    <w:rsid w:val="000F4C9D"/>
    <w:rsid w:val="001137BC"/>
    <w:rsid w:val="001D5AB5"/>
    <w:rsid w:val="001F04A6"/>
    <w:rsid w:val="00221E72"/>
    <w:rsid w:val="00255C9D"/>
    <w:rsid w:val="002674E7"/>
    <w:rsid w:val="00295D99"/>
    <w:rsid w:val="002C7B28"/>
    <w:rsid w:val="002D6FA2"/>
    <w:rsid w:val="003B4445"/>
    <w:rsid w:val="0043437A"/>
    <w:rsid w:val="004B1B14"/>
    <w:rsid w:val="004C62E8"/>
    <w:rsid w:val="0051579B"/>
    <w:rsid w:val="005A5D85"/>
    <w:rsid w:val="005D5671"/>
    <w:rsid w:val="005F4770"/>
    <w:rsid w:val="00604AF5"/>
    <w:rsid w:val="00615396"/>
    <w:rsid w:val="006A258C"/>
    <w:rsid w:val="00711651"/>
    <w:rsid w:val="00720424"/>
    <w:rsid w:val="00733D15"/>
    <w:rsid w:val="00744615"/>
    <w:rsid w:val="007B371D"/>
    <w:rsid w:val="007E0A36"/>
    <w:rsid w:val="007F340C"/>
    <w:rsid w:val="0089364E"/>
    <w:rsid w:val="008F78A6"/>
    <w:rsid w:val="00953950"/>
    <w:rsid w:val="00977F03"/>
    <w:rsid w:val="00A11290"/>
    <w:rsid w:val="00A14A18"/>
    <w:rsid w:val="00A369BB"/>
    <w:rsid w:val="00A62251"/>
    <w:rsid w:val="00BB589D"/>
    <w:rsid w:val="00C376A5"/>
    <w:rsid w:val="00CB0267"/>
    <w:rsid w:val="00D07FAE"/>
    <w:rsid w:val="00D160D4"/>
    <w:rsid w:val="00D35053"/>
    <w:rsid w:val="00D60FB3"/>
    <w:rsid w:val="00F7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6C1B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7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9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D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579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79B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A5D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rs.gov/affordable-care-act/individuals-and-families/aca-individual-shared-responsibility-provision-calculating-the-payment" TargetMode="External"/><Relationship Id="rId12" Type="http://schemas.openxmlformats.org/officeDocument/2006/relationships/hyperlink" Target="http://www.irs.gov/publications/p15b/ar02.html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eeoc.gov/laws/regulations/ada-wellness-notice.cfm" TargetMode="External"/><Relationship Id="rId7" Type="http://schemas.openxmlformats.org/officeDocument/2006/relationships/hyperlink" Target="https://www.irs.gov/retirement-plans/form-5500-corner" TargetMode="External"/><Relationship Id="rId8" Type="http://schemas.openxmlformats.org/officeDocument/2006/relationships/hyperlink" Target="https://www.eeoc.gov/laws/types/genetic.cfm" TargetMode="External"/><Relationship Id="rId9" Type="http://schemas.openxmlformats.org/officeDocument/2006/relationships/hyperlink" Target="https://www.hhs.gov/hipaa/for-professionals/security/laws-regulations/" TargetMode="External"/><Relationship Id="rId10" Type="http://schemas.openxmlformats.org/officeDocument/2006/relationships/hyperlink" Target="https://www.irs.gov/affordable-care-act/employers/employer-shared-responsibility-provi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1360</Words>
  <Characters>7753</Characters>
  <Application>Microsoft Macintosh Word</Application>
  <DocSecurity>0</DocSecurity>
  <Lines>64</Lines>
  <Paragraphs>18</Paragraphs>
  <ScaleCrop>false</ScaleCrop>
  <Company>wellsteps..com</Company>
  <LinksUpToDate>false</LinksUpToDate>
  <CharactersWithSpaces>9095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 Adams</dc:creator>
  <cp:keywords/>
  <dc:description/>
  <cp:lastModifiedBy>Troy Adams</cp:lastModifiedBy>
  <cp:revision>3</cp:revision>
  <dcterms:created xsi:type="dcterms:W3CDTF">2017-01-26T03:54:00Z</dcterms:created>
  <dcterms:modified xsi:type="dcterms:W3CDTF">2017-01-26T03:59:00Z</dcterms:modified>
</cp:coreProperties>
</file>